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泰康集团智慧化采购系统（TIP）</w:t>
      </w:r>
    </w:p>
    <w:p>
      <w:pPr>
        <w:jc w:val="center"/>
        <w:rPr>
          <w:rFonts w:ascii="黑体" w:hAnsi="黑体" w:eastAsia="黑体" w:cs="黑体"/>
          <w:sz w:val="52"/>
          <w:szCs w:val="52"/>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rFonts w:ascii="宋体" w:hAnsi="宋体" w:eastAsia="宋体"/>
        </w:rPr>
        <w:id w:val="147460766"/>
      </w:sdtPr>
      <w:sdtEndPr>
        <w:rPr>
          <w:rFonts w:ascii="宋体" w:hAnsi="宋体" w:eastAsia="宋体"/>
        </w:rPr>
      </w:sdtEndPr>
      <w:sdtContent>
        <w:p>
          <w:pPr>
            <w:jc w:val="center"/>
          </w:pPr>
          <w:r>
            <w:rPr>
              <w:rFonts w:ascii="宋体" w:hAnsi="宋体" w:eastAsia="宋体"/>
            </w:rPr>
            <w:t>目录</w:t>
          </w:r>
        </w:p>
        <w:p>
          <w:pPr>
            <w:pStyle w:val="11"/>
            <w:tabs>
              <w:tab w:val="right" w:leader="dot" w:pos="8306"/>
            </w:tabs>
          </w:pPr>
          <w:r>
            <w:fldChar w:fldCharType="begin"/>
          </w:r>
          <w:r>
            <w:instrText xml:space="preserve">TOC \o "1-1" \h \u </w:instrText>
          </w:r>
          <w:r>
            <w:fldChar w:fldCharType="separate"/>
          </w:r>
          <w:r>
            <w:fldChar w:fldCharType="begin"/>
          </w:r>
          <w:r>
            <w:instrText xml:space="preserve"> HYPERLINK \l "_Toc9707" </w:instrText>
          </w:r>
          <w:r>
            <w:fldChar w:fldCharType="separate"/>
          </w:r>
          <w:r>
            <w:rPr>
              <w:rFonts w:hint="eastAsia"/>
              <w:szCs w:val="28"/>
            </w:rPr>
            <w:t>一、 供应商注册</w:t>
          </w:r>
          <w:r>
            <w:tab/>
          </w:r>
          <w:r>
            <w:fldChar w:fldCharType="begin"/>
          </w:r>
          <w:r>
            <w:instrText xml:space="preserve"> PAGEREF _Toc9707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"_Toc16337" </w:instrText>
          </w:r>
          <w:r>
            <w:fldChar w:fldCharType="separate"/>
          </w:r>
          <w:r>
            <w:rPr>
              <w:rFonts w:hint="eastAsia"/>
              <w:szCs w:val="28"/>
            </w:rPr>
            <w:t>二、 供应商登录</w:t>
          </w:r>
          <w:r>
            <w:tab/>
          </w:r>
          <w:r>
            <w:fldChar w:fldCharType="begin"/>
          </w:r>
          <w:r>
            <w:instrText xml:space="preserve"> PAGEREF _Toc16337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"_Toc27469" </w:instrText>
          </w:r>
          <w:r>
            <w:fldChar w:fldCharType="separate"/>
          </w:r>
          <w:r>
            <w:rPr>
              <w:rFonts w:hint="eastAsia"/>
              <w:szCs w:val="28"/>
            </w:rPr>
            <w:t>三、 供应商变更信息</w:t>
          </w:r>
          <w:r>
            <w:tab/>
          </w:r>
          <w:r>
            <w:fldChar w:fldCharType="begin"/>
          </w:r>
          <w:r>
            <w:instrText xml:space="preserve"> PAGEREF _Toc27469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"_Toc9659" </w:instrText>
          </w:r>
          <w:r>
            <w:fldChar w:fldCharType="separate"/>
          </w:r>
          <w:r>
            <w:rPr>
              <w:rFonts w:hint="eastAsia"/>
              <w:szCs w:val="28"/>
            </w:rPr>
            <w:t>四、 供应商单点登录到TIP采购系统</w:t>
          </w:r>
          <w:r>
            <w:tab/>
          </w:r>
          <w:r>
            <w:fldChar w:fldCharType="begin"/>
          </w:r>
          <w:r>
            <w:instrText xml:space="preserve"> PAGEREF _Toc9659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"_Toc1660" </w:instrText>
          </w:r>
          <w:r>
            <w:fldChar w:fldCharType="separate"/>
          </w:r>
          <w:r>
            <w:rPr>
              <w:rFonts w:hint="eastAsia"/>
              <w:szCs w:val="28"/>
            </w:rPr>
            <w:t>五、 联系人修改密码</w:t>
          </w:r>
          <w:r>
            <w:tab/>
          </w:r>
          <w:r>
            <w:fldChar w:fldCharType="begin"/>
          </w:r>
          <w:r>
            <w:instrText xml:space="preserve"> PAGEREF _Toc1660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"_Toc8202" </w:instrText>
          </w:r>
          <w:r>
            <w:fldChar w:fldCharType="separate"/>
          </w:r>
          <w:r>
            <w:rPr>
              <w:rFonts w:hint="eastAsia"/>
              <w:szCs w:val="28"/>
            </w:rPr>
            <w:t>六、 联系人维护个人信息</w:t>
          </w:r>
          <w:r>
            <w:tab/>
          </w:r>
          <w:r>
            <w:fldChar w:fldCharType="begin"/>
          </w:r>
          <w:r>
            <w:instrText xml:space="preserve"> PAGEREF _Toc8202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"_Toc7198" </w:instrText>
          </w:r>
          <w:r>
            <w:fldChar w:fldCharType="separate"/>
          </w:r>
          <w:r>
            <w:rPr>
              <w:rFonts w:hint="eastAsia"/>
              <w:szCs w:val="28"/>
            </w:rPr>
            <w:t>七、 联系人与注册公司解绑</w:t>
          </w:r>
          <w:r>
            <w:tab/>
          </w:r>
          <w:r>
            <w:fldChar w:fldCharType="begin"/>
          </w:r>
          <w:r>
            <w:instrText xml:space="preserve"> PAGEREF _Toc7198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"_Toc6430" </w:instrText>
          </w:r>
          <w:r>
            <w:fldChar w:fldCharType="separate"/>
          </w:r>
          <w:r>
            <w:rPr>
              <w:rFonts w:hint="eastAsia"/>
              <w:szCs w:val="28"/>
            </w:rPr>
            <w:t>八、 供应商参与项目</w:t>
          </w:r>
          <w:r>
            <w:tab/>
          </w:r>
          <w:r>
            <w:fldChar w:fldCharType="begin"/>
          </w:r>
          <w:r>
            <w:instrText xml:space="preserve"> PAGEREF _Toc6430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"_Toc11291" </w:instrText>
          </w:r>
          <w:r>
            <w:fldChar w:fldCharType="separate"/>
          </w:r>
          <w:r>
            <w:rPr>
              <w:rFonts w:hint="eastAsia"/>
              <w:szCs w:val="28"/>
            </w:rPr>
            <w:t>九、合同办理</w:t>
          </w:r>
          <w:r>
            <w:tab/>
          </w:r>
          <w:r>
            <w:fldChar w:fldCharType="begin"/>
          </w:r>
          <w:r>
            <w:instrText xml:space="preserve"> PAGEREF _Toc11291 </w:instrText>
          </w:r>
          <w:r>
            <w:fldChar w:fldCharType="separate"/>
          </w:r>
          <w:r>
            <w:t>23</w:t>
          </w:r>
          <w:r>
            <w:fldChar w:fldCharType="end"/>
          </w:r>
          <w:r>
            <w:fldChar w:fldCharType="end"/>
          </w:r>
        </w:p>
        <w:p>
          <w:pPr>
            <w:pStyle w:val="11"/>
            <w:tabs>
              <w:tab w:val="right" w:leader="dot" w:pos="8306"/>
            </w:tabs>
          </w:pPr>
          <w:r>
            <w:fldChar w:fldCharType="begin"/>
          </w:r>
          <w:r>
            <w:instrText xml:space="preserve"> HYPERLINK \l "_Toc31773" </w:instrText>
          </w:r>
          <w:r>
            <w:fldChar w:fldCharType="separate"/>
          </w:r>
          <w:r>
            <w:rPr>
              <w:rFonts w:hint="eastAsia"/>
              <w:szCs w:val="28"/>
            </w:rPr>
            <w:t>十、 合同付款</w:t>
          </w:r>
          <w:r>
            <w:tab/>
          </w:r>
          <w:r>
            <w:fldChar w:fldCharType="begin"/>
          </w:r>
          <w:r>
            <w:instrText xml:space="preserve"> PAGEREF _Toc31773 </w:instrText>
          </w:r>
          <w:r>
            <w:fldChar w:fldCharType="separate"/>
          </w:r>
          <w:r>
            <w:t>23</w:t>
          </w:r>
          <w:r>
            <w:fldChar w:fldCharType="end"/>
          </w:r>
          <w:r>
            <w:fldChar w:fldCharType="end"/>
          </w:r>
        </w:p>
        <w:p>
          <w:r>
            <w:fldChar w:fldCharType="end"/>
          </w:r>
        </w:p>
      </w:sdtContent>
    </w:sdt>
    <w:p>
      <w:pPr>
        <w:numPr>
          <w:ilvl w:val="0"/>
          <w:numId w:val="1"/>
        </w:numPr>
        <w:rPr>
          <w:rFonts w:ascii="宋体" w:hAnsi="宋体" w:eastAsia="宋体"/>
          <w:sz w:val="20"/>
          <w:szCs w:val="20"/>
        </w:rPr>
      </w:pPr>
      <w:r>
        <w:rPr>
          <w:rFonts w:ascii="宋体" w:hAnsi="宋体" w:eastAsia="宋体"/>
          <w:sz w:val="20"/>
          <w:szCs w:val="20"/>
        </w:rPr>
        <w:br w:type="page"/>
      </w:r>
    </w:p>
    <w:p>
      <w:pPr>
        <w:pStyle w:val="18"/>
        <w:numPr>
          <w:ilvl w:val="255"/>
          <w:numId w:val="0"/>
        </w:numPr>
        <w:tabs>
          <w:tab w:val="right" w:leader="dot" w:pos="8306"/>
        </w:tabs>
      </w:pPr>
    </w:p>
    <w:p>
      <w:pPr>
        <w:pStyle w:val="3"/>
        <w:numPr>
          <w:ilvl w:val="0"/>
          <w:numId w:val="2"/>
        </w:numPr>
        <w:spacing w:line="360" w:lineRule="auto"/>
        <w:rPr>
          <w:sz w:val="28"/>
          <w:szCs w:val="28"/>
        </w:rPr>
      </w:pPr>
      <w:bookmarkStart w:id="0" w:name="_Toc9707"/>
      <w:bookmarkStart w:id="1" w:name="_Toc29519"/>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供应商登录泰康保险集团采购供应链管理平台http://tip.taikang</w:t>
      </w:r>
      <w:r>
        <w:rPr>
          <w:rFonts w:hint="eastAsia"/>
          <w:lang w:val="en-US" w:eastAsia="zh-CN"/>
        </w:rPr>
        <w:t>life</w:t>
      </w:r>
      <w:r>
        <w:rPr>
          <w:rFonts w:hint="eastAsia"/>
        </w:rPr>
        <w:t>.com（推荐使用谷歌浏览器）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114300" distR="114300">
            <wp:extent cx="5274310" cy="2626360"/>
            <wp:effectExtent l="0" t="0" r="2540" b="254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7"/>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2"/>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3"/>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4"/>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5"/>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6"/>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7"/>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8"/>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9"/>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0"/>
                    <a:stretch>
                      <a:fillRect/>
                    </a:stretch>
                  </pic:blipFill>
                  <pic:spPr>
                    <a:xfrm>
                      <a:off x="0" y="0"/>
                      <a:ext cx="5270500" cy="2644140"/>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pStyle w:val="3"/>
        <w:numPr>
          <w:ilvl w:val="0"/>
          <w:numId w:val="2"/>
        </w:numPr>
        <w:spacing w:line="360" w:lineRule="auto"/>
        <w:rPr>
          <w:sz w:val="28"/>
          <w:szCs w:val="28"/>
        </w:rPr>
      </w:pPr>
      <w:bookmarkStart w:id="3" w:name="_Toc16337"/>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登录入口：供应商登录泰康保险集团采购供应链管理平台http://</w:t>
      </w:r>
      <w:bookmarkStart w:id="19" w:name="_GoBack"/>
      <w:r>
        <w:rPr>
          <w:rFonts w:hint="eastAsia"/>
          <w:lang w:eastAsia="zh-CN"/>
        </w:rPr>
        <w:t>tip.taikanglife</w:t>
      </w:r>
      <w:r>
        <w:rPr>
          <w:rFonts w:hint="eastAsia"/>
        </w:rPr>
        <w:t>.com</w:t>
      </w:r>
      <w:bookmarkEnd w:id="19"/>
      <w:r>
        <w:rPr>
          <w:rFonts w:hint="eastAsia"/>
        </w:rPr>
        <w:t>（推荐使用谷歌浏览器），如下图：</w:t>
      </w:r>
    </w:p>
    <w:p>
      <w:pPr>
        <w:numPr>
          <w:ilvl w:val="255"/>
          <w:numId w:val="0"/>
        </w:numPr>
        <w:spacing w:line="360" w:lineRule="auto"/>
        <w:jc w:val="left"/>
      </w:pPr>
    </w:p>
    <w:p>
      <w:pPr>
        <w:spacing w:line="360" w:lineRule="auto"/>
        <w:jc w:val="left"/>
      </w:pPr>
      <w:r>
        <w:drawing>
          <wp:inline distT="0" distB="0" distL="114300" distR="11430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2"/>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5"/>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6"/>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16563"/>
      <w:bookmarkStart w:id="5" w:name="_Toc27469"/>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rPr>
          <w:rFonts w:hint="eastAsia"/>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spacing w:line="360" w:lineRule="auto"/>
      </w:pPr>
    </w:p>
    <w:p>
      <w:pPr>
        <w:pStyle w:val="3"/>
        <w:numPr>
          <w:ilvl w:val="0"/>
          <w:numId w:val="2"/>
        </w:numPr>
        <w:spacing w:line="360" w:lineRule="auto"/>
        <w:rPr>
          <w:sz w:val="28"/>
          <w:szCs w:val="28"/>
        </w:rPr>
      </w:pPr>
      <w:bookmarkStart w:id="6" w:name="_Toc3245"/>
      <w:bookmarkStart w:id="7" w:name="_Toc9659"/>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7"/>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28"/>
                    <a:stretch>
                      <a:fillRect/>
                    </a:stretch>
                  </pic:blipFill>
                  <pic:spPr>
                    <a:xfrm>
                      <a:off x="0" y="0"/>
                      <a:ext cx="5262880" cy="2271395"/>
                    </a:xfrm>
                    <a:prstGeom prst="rect">
                      <a:avLst/>
                    </a:prstGeom>
                  </pic:spPr>
                </pic:pic>
              </a:graphicData>
            </a:graphic>
          </wp:inline>
        </w:drawing>
      </w:r>
    </w:p>
    <w:p>
      <w:pPr>
        <w:pStyle w:val="3"/>
        <w:numPr>
          <w:ilvl w:val="0"/>
          <w:numId w:val="2"/>
        </w:numPr>
        <w:spacing w:line="360" w:lineRule="auto"/>
        <w:rPr>
          <w:sz w:val="28"/>
          <w:szCs w:val="28"/>
        </w:rPr>
      </w:pPr>
      <w:bookmarkStart w:id="8" w:name="_Toc30716"/>
      <w:bookmarkStart w:id="9" w:name="_Toc1660"/>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rPr>
          <w:rFonts w:hint="eastAsia"/>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29"/>
                    <a:stretch>
                      <a:fillRect/>
                    </a:stretch>
                  </pic:blipFill>
                  <pic:spPr>
                    <a:xfrm>
                      <a:off x="0" y="0"/>
                      <a:ext cx="5270500" cy="2326005"/>
                    </a:xfrm>
                    <a:prstGeom prst="rect">
                      <a:avLst/>
                    </a:prstGeom>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0"/>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8202"/>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rPr>
          <w:rFonts w:hint="eastAsia"/>
        </w:rPr>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1"/>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rFonts w:hint="eastAsia"/>
          <w:sz w:val="28"/>
          <w:szCs w:val="28"/>
          <w:lang w:val="en-US" w:eastAsia="zh-CN"/>
        </w:rPr>
      </w:pPr>
      <w:r>
        <w:rPr>
          <w:rFonts w:hint="eastAsia"/>
          <w:sz w:val="28"/>
          <w:szCs w:val="28"/>
          <w:lang w:val="en-US" w:eastAsia="zh-CN"/>
        </w:rPr>
        <w:t>供应商审核单位选择</w:t>
      </w:r>
    </w:p>
    <w:p>
      <w:pPr>
        <w:numPr>
          <w:ilvl w:val="0"/>
          <w:numId w:val="16"/>
        </w:numPr>
        <w:spacing w:line="360" w:lineRule="auto"/>
        <w:ind w:firstLine="420" w:firstLineChars="200"/>
        <w:rPr>
          <w:rFonts w:hint="eastAsia"/>
          <w:lang w:val="en-US" w:eastAsia="zh-CN"/>
        </w:rPr>
      </w:pPr>
      <w:r>
        <w:rPr>
          <w:rFonts w:hint="eastAsia"/>
          <w:lang w:val="en-US" w:eastAsia="zh-CN"/>
        </w:rPr>
        <w:t>首页点击供应商信息维护：</w:t>
      </w:r>
    </w:p>
    <w:p>
      <w:r>
        <w:drawing>
          <wp:inline distT="0" distB="0" distL="114300" distR="114300">
            <wp:extent cx="5262245" cy="1678940"/>
            <wp:effectExtent l="0" t="0" r="1460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262245" cy="1678940"/>
                    </a:xfrm>
                    <a:prstGeom prst="rect">
                      <a:avLst/>
                    </a:prstGeom>
                    <a:noFill/>
                    <a:ln w="9525">
                      <a:noFill/>
                    </a:ln>
                  </pic:spPr>
                </pic:pic>
              </a:graphicData>
            </a:graphic>
          </wp:inline>
        </w:drawing>
      </w:r>
    </w:p>
    <w:p>
      <w:pPr>
        <w:rPr>
          <w:rFonts w:hint="eastAsia"/>
          <w:lang w:val="en-US" w:eastAsia="zh-CN"/>
        </w:rPr>
      </w:pPr>
      <w:r>
        <w:rPr>
          <w:rFonts w:hint="eastAsia"/>
          <w:lang w:val="en-US" w:eastAsia="zh-CN"/>
        </w:rPr>
        <w:t>点击基本信息：</w:t>
      </w:r>
    </w:p>
    <w:p>
      <w:r>
        <w:drawing>
          <wp:inline distT="0" distB="0" distL="114300" distR="114300">
            <wp:extent cx="5262245" cy="2699385"/>
            <wp:effectExtent l="0" t="0" r="14605"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3"/>
                    <a:stretch>
                      <a:fillRect/>
                    </a:stretch>
                  </pic:blipFill>
                  <pic:spPr>
                    <a:xfrm>
                      <a:off x="0" y="0"/>
                      <a:ext cx="5262245" cy="2699385"/>
                    </a:xfrm>
                    <a:prstGeom prst="rect">
                      <a:avLst/>
                    </a:prstGeom>
                    <a:noFill/>
                    <a:ln w="9525">
                      <a:noFill/>
                    </a:ln>
                  </pic:spPr>
                </pic:pic>
              </a:graphicData>
            </a:graphic>
          </wp:inline>
        </w:drawing>
      </w:r>
    </w:p>
    <w:p>
      <w:pPr>
        <w:rPr>
          <w:rFonts w:hint="eastAsia"/>
          <w:lang w:val="en-US" w:eastAsia="zh-CN"/>
        </w:rPr>
      </w:pPr>
      <w:r>
        <w:rPr>
          <w:rFonts w:hint="eastAsia"/>
          <w:lang w:val="en-US" w:eastAsia="zh-CN"/>
        </w:rPr>
        <w:t>点击审核单位选择分公司：</w:t>
      </w:r>
    </w:p>
    <w:p>
      <w:pPr>
        <w:rPr>
          <w:rFonts w:hint="eastAsia"/>
          <w:lang w:val="en-US" w:eastAsia="zh-CN"/>
        </w:rPr>
      </w:pPr>
      <w:r>
        <w:drawing>
          <wp:inline distT="0" distB="0" distL="114300" distR="114300">
            <wp:extent cx="5269865" cy="3498850"/>
            <wp:effectExtent l="0" t="0" r="6985"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4"/>
                    <a:stretch>
                      <a:fillRect/>
                    </a:stretch>
                  </pic:blipFill>
                  <pic:spPr>
                    <a:xfrm>
                      <a:off x="0" y="0"/>
                      <a:ext cx="5269865" cy="3498850"/>
                    </a:xfrm>
                    <a:prstGeom prst="rect">
                      <a:avLst/>
                    </a:prstGeom>
                    <a:noFill/>
                    <a:ln w="9525">
                      <a:noFill/>
                    </a:ln>
                  </pic:spPr>
                </pic:pic>
              </a:graphicData>
            </a:graphic>
          </wp:inline>
        </w:drawing>
      </w:r>
    </w:p>
    <w:p>
      <w:pPr>
        <w:spacing w:line="360" w:lineRule="auto"/>
        <w:rPr>
          <w:rFonts w:hint="eastAsia"/>
          <w:lang w:val="en-US" w:eastAsia="zh-CN"/>
        </w:rPr>
      </w:pPr>
    </w:p>
    <w:p>
      <w:pPr>
        <w:pStyle w:val="3"/>
        <w:numPr>
          <w:ilvl w:val="0"/>
          <w:numId w:val="2"/>
        </w:numPr>
        <w:spacing w:line="360" w:lineRule="auto"/>
        <w:rPr>
          <w:sz w:val="28"/>
          <w:szCs w:val="28"/>
        </w:rPr>
      </w:pPr>
      <w:bookmarkStart w:id="12" w:name="_Toc7198"/>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rPr>
          <w:rFonts w:hint="eastAsia"/>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5"/>
                    <a:stretch>
                      <a:fillRect/>
                    </a:stretch>
                  </pic:blipFill>
                  <pic:spPr>
                    <a:xfrm>
                      <a:off x="0" y="0"/>
                      <a:ext cx="5271135" cy="2324735"/>
                    </a:xfrm>
                    <a:prstGeom prst="rect">
                      <a:avLst/>
                    </a:prstGeom>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6"/>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30914"/>
      <w:bookmarkStart w:id="14" w:name="_Toc6430"/>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rPr>
          <w:rFonts w:hint="eastAsia"/>
        </w:rPr>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274310" cy="2116439"/>
                    </a:xfrm>
                    <a:prstGeom prst="rect">
                      <a:avLst/>
                    </a:prstGeom>
                  </pic:spPr>
                </pic:pic>
              </a:graphicData>
            </a:graphic>
          </wp:inline>
        </w:drawing>
      </w:r>
    </w:p>
    <w:p/>
    <w:p>
      <w:pPr>
        <w:pStyle w:val="4"/>
        <w:numPr>
          <w:ilvl w:val="0"/>
          <w:numId w:val="19"/>
        </w:numPr>
      </w:pPr>
      <w:r>
        <w:rPr>
          <w:rFonts w:hint="eastAsia"/>
        </w:rPr>
        <w:t>供应商邀请函确认</w:t>
      </w:r>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pPr>
      <w:r>
        <w:rPr>
          <w:rFonts w:hint="eastAsia"/>
        </w:rPr>
        <w:t>下载采购文件</w:t>
      </w:r>
    </w:p>
    <w:p>
      <w:r>
        <w:rPr>
          <w:rFonts w:hint="eastAsia"/>
        </w:rPr>
        <w:t>接受邀请的供应商，如有延时开标的需求，可以在邀请函确认页面申请延时开标（见上图） 。</w:t>
      </w:r>
    </w:p>
    <w:p>
      <w:pPr>
        <w:ind w:firstLine="420" w:firstLineChars="200"/>
      </w:pPr>
      <w:r>
        <w:rPr>
          <w:rFonts w:hint="eastAsia"/>
        </w:rPr>
        <w:t>延时开标申请后，需要招采经理审批通过后方可生效。</w:t>
      </w:r>
    </w:p>
    <w:p>
      <w:pPr>
        <w:pStyle w:val="4"/>
        <w:numPr>
          <w:ilvl w:val="0"/>
          <w:numId w:val="19"/>
        </w:numPr>
      </w:pPr>
      <w:r>
        <w:rPr>
          <w:rFonts w:hint="eastAsia"/>
        </w:rPr>
        <w:t>下载采购文件</w:t>
      </w:r>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9"/>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r>
        <w:rPr>
          <w:rFonts w:hint="eastAsia"/>
        </w:rPr>
        <w:t>项目澄清</w:t>
      </w:r>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0"/>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1"/>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2"/>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r>
        <w:rPr>
          <w:rFonts w:hint="eastAsia"/>
        </w:rPr>
        <w:t>投标</w:t>
      </w:r>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3"/>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供应商在报价页面，填写报价单信息，并上传投标文件。报价和投标文件上传完成后，最后点击“提交报价”按钮完成整个投标工作。如下图：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a:stretch>
                      <a:fillRect/>
                    </a:stretch>
                  </pic:blipFill>
                  <pic:spPr>
                    <a:xfrm>
                      <a:off x="0" y="0"/>
                      <a:ext cx="5274310" cy="4232878"/>
                    </a:xfrm>
                    <a:prstGeom prst="rect">
                      <a:avLst/>
                    </a:prstGeom>
                  </pic:spPr>
                </pic:pic>
              </a:graphicData>
            </a:graphic>
          </wp:inline>
        </w:drawing>
      </w:r>
    </w:p>
    <w:p>
      <w:pPr>
        <w:pStyle w:val="4"/>
        <w:numPr>
          <w:ilvl w:val="0"/>
          <w:numId w:val="19"/>
        </w:numPr>
      </w:pPr>
      <w:r>
        <w:rPr>
          <w:rFonts w:hint="eastAsia"/>
        </w:rPr>
        <w:t>再次报价（多轮报价）</w:t>
      </w:r>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5"/>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r>
        <w:rPr>
          <w:rFonts w:hint="eastAsia"/>
        </w:rPr>
        <w:t>结果公示</w:t>
      </w:r>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6"/>
                    <a:srcRect l="-242" b="-63543"/>
                    <a:stretch>
                      <a:fillRect/>
                    </a:stretch>
                  </pic:blipFill>
                  <pic:spPr>
                    <a:xfrm>
                      <a:off x="0" y="0"/>
                      <a:ext cx="5269230" cy="1617980"/>
                    </a:xfrm>
                    <a:prstGeom prst="rect">
                      <a:avLst/>
                    </a:prstGeom>
                    <a:noFill/>
                    <a:ln>
                      <a:noFill/>
                    </a:ln>
                  </pic:spPr>
                </pic:pic>
              </a:graphicData>
            </a:graphic>
          </wp:inline>
        </w:drawing>
      </w:r>
    </w:p>
    <w:p>
      <w:pPr>
        <w:pStyle w:val="3"/>
        <w:numPr>
          <w:ilvl w:val="0"/>
          <w:numId w:val="2"/>
        </w:numPr>
        <w:spacing w:line="360" w:lineRule="auto"/>
        <w:rPr>
          <w:sz w:val="28"/>
          <w:szCs w:val="28"/>
        </w:rPr>
      </w:pPr>
      <w:bookmarkStart w:id="15" w:name="_Toc28815"/>
      <w:bookmarkStart w:id="16" w:name="_Toc11291"/>
      <w:r>
        <w:rPr>
          <w:rFonts w:hint="eastAsia"/>
          <w:sz w:val="28"/>
          <w:szCs w:val="28"/>
        </w:rPr>
        <w:t>合同办理</w:t>
      </w:r>
      <w:bookmarkEnd w:id="15"/>
      <w:bookmarkEnd w:id="16"/>
    </w:p>
    <w:p>
      <w:pPr>
        <w:ind w:firstLine="420" w:firstLineChars="200"/>
      </w:pPr>
      <w:r>
        <w:rPr>
          <w:rFonts w:hint="eastAsia"/>
        </w:rPr>
        <w:t>泰康集团总部</w:t>
      </w:r>
      <w:r>
        <w:rPr>
          <w:rFonts w:hint="eastAsia"/>
          <w:lang w:eastAsia="zh-CN"/>
        </w:rPr>
        <w:t>（</w:t>
      </w:r>
      <w:r>
        <w:rPr>
          <w:rFonts w:hint="eastAsia"/>
          <w:lang w:val="en-US" w:eastAsia="zh-CN"/>
        </w:rPr>
        <w:t>其他机构的除外</w:t>
      </w:r>
      <w:r>
        <w:rPr>
          <w:rFonts w:hint="eastAsia"/>
          <w:lang w:eastAsia="zh-CN"/>
        </w:rPr>
        <w:t>）</w:t>
      </w:r>
      <w:r>
        <w:rPr>
          <w:rFonts w:hint="eastAsia"/>
        </w:rPr>
        <w:t>的IT类型合同，会通过采购管理平台</w:t>
      </w:r>
      <w:r>
        <w:rPr>
          <w:rFonts w:hint="eastAsia"/>
          <w:b/>
          <w:bCs/>
          <w:lang w:val="en-US" w:eastAsia="zh-CN"/>
        </w:rPr>
        <w:t>待办任务</w:t>
      </w:r>
      <w:r>
        <w:rPr>
          <w:rFonts w:hint="eastAsia"/>
          <w:lang w:val="en-US" w:eastAsia="zh-CN"/>
        </w:rPr>
        <w:t>的方式</w:t>
      </w:r>
      <w:r>
        <w:rPr>
          <w:rFonts w:hint="eastAsia"/>
        </w:rPr>
        <w:t>分配给</w:t>
      </w:r>
      <w:r>
        <w:rPr>
          <w:rFonts w:hint="eastAsia"/>
          <w:b/>
          <w:bCs/>
          <w:lang w:val="en-US" w:eastAsia="zh-CN"/>
        </w:rPr>
        <w:t>供应商联系人</w:t>
      </w:r>
      <w:r>
        <w:rPr>
          <w:rFonts w:hint="eastAsia"/>
        </w:rPr>
        <w:t>，进行线上合同起草。联系人完成合同起草后，提交给泰康进行内部审核。</w:t>
      </w:r>
    </w:p>
    <w:p>
      <w:pPr>
        <w:ind w:firstLine="420" w:firstLineChars="200"/>
      </w:pPr>
      <w:r>
        <w:rPr>
          <w:rFonts w:hint="eastAsia"/>
        </w:rPr>
        <w:t>具体操作如下：</w:t>
      </w:r>
    </w:p>
    <w:p>
      <w:pPr>
        <w:ind w:firstLine="420" w:firstLineChars="200"/>
      </w:pPr>
      <w:r>
        <w:rPr>
          <w:rFonts w:hint="eastAsia"/>
        </w:rPr>
        <w:t>供应商联系人登录采购系统，在主页面</w:t>
      </w:r>
      <w:r>
        <w:rPr>
          <w:rFonts w:hint="eastAsia"/>
          <w:lang w:val="en-US" w:eastAsia="zh-CN"/>
        </w:rPr>
        <w:t>待办任务中找到合同起草任务</w:t>
      </w:r>
      <w:r>
        <w:rPr>
          <w:rFonts w:hint="eastAsia"/>
        </w:rPr>
        <w:t>，点击后面的“办理”，如下图：</w:t>
      </w:r>
    </w:p>
    <w:p>
      <w: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a:stretch>
                      <a:fillRect/>
                    </a:stretch>
                  </pic:blipFill>
                  <pic:spPr>
                    <a:xfrm>
                      <a:off x="0" y="0"/>
                      <a:ext cx="5274310" cy="814344"/>
                    </a:xfrm>
                    <a:prstGeom prst="rect">
                      <a:avLst/>
                    </a:prstGeom>
                  </pic:spPr>
                </pic:pic>
              </a:graphicData>
            </a:graphic>
          </wp:inline>
        </w:drawing>
      </w:r>
    </w:p>
    <w:p>
      <w:pPr>
        <w:ind w:firstLine="420" w:firstLineChars="200"/>
      </w:pPr>
      <w:r>
        <w:rPr>
          <w:rFonts w:hint="eastAsia"/>
        </w:rPr>
        <w:t>进入合同办理页面：</w:t>
      </w:r>
    </w:p>
    <w:p>
      <w:pPr>
        <w:ind w:firstLine="420" w:firstLineChars="200"/>
      </w:pPr>
      <w:r>
        <w:rPr>
          <w:rFonts w:hint="eastAsia"/>
        </w:rPr>
        <w:t>点击“合同起草”，查看合同文本内容，可以进行修改。</w:t>
      </w:r>
    </w:p>
    <w:p>
      <w:pPr>
        <w:ind w:firstLine="420" w:firstLineChars="200"/>
      </w:pPr>
      <w:r>
        <w:rPr>
          <w:rFonts w:hint="eastAsia"/>
        </w:rPr>
        <w:t>点击“查看”查看付款批次信息。</w:t>
      </w:r>
    </w:p>
    <w:p>
      <w:pPr>
        <w:ind w:firstLine="420" w:firstLineChars="200"/>
      </w:pPr>
      <w:r>
        <w:rPr>
          <w:rFonts w:hint="eastAsia"/>
        </w:rPr>
        <w:t>确认上述信息无误后，点击右上角“提交”按钮，完成合同起草操作，合同进入后续流程环节。</w:t>
      </w:r>
    </w:p>
    <w:p>
      <w:pPr>
        <w:ind w:firstLine="420" w:firstLineChars="200"/>
      </w:pPr>
      <w:r>
        <w:rPr>
          <w:rFonts w:hint="eastAsia"/>
        </w:rPr>
        <w:t>如下图：</w:t>
      </w:r>
    </w:p>
    <w:p>
      <w: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8"/>
                    <a:srcRect t="65267"/>
                    <a:stretch>
                      <a:fillRect/>
                    </a:stretch>
                  </pic:blipFill>
                  <pic:spPr>
                    <a:xfrm>
                      <a:off x="0" y="0"/>
                      <a:ext cx="5274310" cy="1050290"/>
                    </a:xfrm>
                    <a:prstGeom prst="rect">
                      <a:avLst/>
                    </a:prstGeom>
                  </pic:spPr>
                </pic:pic>
              </a:graphicData>
            </a:graphic>
          </wp:inline>
        </w:drawing>
      </w:r>
    </w:p>
    <w:p/>
    <w:p>
      <w:pPr>
        <w:pStyle w:val="3"/>
        <w:numPr>
          <w:ilvl w:val="0"/>
          <w:numId w:val="2"/>
        </w:numPr>
        <w:spacing w:line="360" w:lineRule="auto"/>
        <w:rPr>
          <w:sz w:val="28"/>
          <w:szCs w:val="28"/>
        </w:rPr>
      </w:pPr>
      <w:bookmarkStart w:id="17" w:name="_Toc31773"/>
      <w:bookmarkStart w:id="18" w:name="_Toc25961"/>
      <w:r>
        <w:rPr>
          <w:rFonts w:hint="eastAsia"/>
          <w:sz w:val="28"/>
          <w:szCs w:val="28"/>
        </w:rPr>
        <w:t>合同</w:t>
      </w:r>
      <w:r>
        <w:rPr>
          <w:rFonts w:hint="eastAsia"/>
          <w:sz w:val="28"/>
          <w:szCs w:val="28"/>
          <w:lang w:val="en-US" w:eastAsia="zh-CN"/>
        </w:rPr>
        <w:t>验收和</w:t>
      </w:r>
      <w:r>
        <w:rPr>
          <w:rFonts w:hint="eastAsia"/>
          <w:sz w:val="28"/>
          <w:szCs w:val="28"/>
        </w:rPr>
        <w:t>付款</w:t>
      </w:r>
      <w:bookmarkEnd w:id="17"/>
      <w:bookmarkEnd w:id="18"/>
    </w:p>
    <w:p>
      <w:pPr>
        <w:pStyle w:val="4"/>
        <w:numPr>
          <w:ilvl w:val="0"/>
          <w:numId w:val="20"/>
        </w:numPr>
      </w:pPr>
      <w:r>
        <w:rPr>
          <w:rFonts w:hint="eastAsia"/>
          <w:lang w:val="en-US" w:eastAsia="zh-CN"/>
        </w:rPr>
        <w:t>验收申请</w:t>
      </w:r>
    </w:p>
    <w:p>
      <w:pPr>
        <w:ind w:firstLine="420" w:firstLineChars="200"/>
        <w:rPr>
          <w:rFonts w:hint="eastAsia"/>
          <w:lang w:val="en-US" w:eastAsia="zh-CN"/>
        </w:rPr>
      </w:pPr>
      <w:r>
        <w:rPr>
          <w:rFonts w:hint="eastAsia"/>
          <w:lang w:val="en-US" w:eastAsia="zh-CN"/>
        </w:rPr>
        <w:t>IT类合同需要先经过验收申请，再进行付款申请。只有集团IT类合同，并且不是从OMS流转的合同才进行验收。</w:t>
      </w:r>
    </w:p>
    <w:p>
      <w:pPr>
        <w:ind w:firstLine="420" w:firstLineChars="200"/>
        <w:rPr>
          <w:rFonts w:hint="eastAsia"/>
          <w:lang w:val="en-US" w:eastAsia="zh-CN"/>
        </w:rPr>
      </w:pPr>
      <w:r>
        <w:rPr>
          <w:rFonts w:hint="eastAsia"/>
          <w:lang w:val="en-US" w:eastAsia="zh-CN"/>
        </w:rPr>
        <w:t>供应商登录系统进入【合同管理】【验收申请】，点击后面的“验收申请”</w:t>
      </w:r>
    </w:p>
    <w:p>
      <w:pPr>
        <w:ind w:firstLine="420" w:firstLineChars="200"/>
        <w:rPr>
          <w:rFonts w:hint="eastAsia"/>
          <w:lang w:val="en-US" w:eastAsia="zh-CN"/>
        </w:rPr>
      </w:pPr>
      <w:r>
        <w:rPr>
          <w:rFonts w:hint="eastAsia"/>
          <w:lang w:val="en-US" w:eastAsia="zh-CN"/>
        </w:rPr>
        <w:drawing>
          <wp:inline distT="0" distB="0" distL="114300" distR="114300">
            <wp:extent cx="5266055" cy="777875"/>
            <wp:effectExtent l="0" t="0" r="10795" b="3175"/>
            <wp:docPr id="5" name="图片 5" descr="0x63B53496_0xC576_0x4264_0x88_0x2228_0x227B_0x22F2_0x22B2_0x228_0x22A2_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x63B53496_0xC576_0x4264_0x88_0x2228_0x227B_0x22F2_0x22B2_0x228_0x22A2_0x229"/>
                    <pic:cNvPicPr>
                      <a:picLocks noChangeAspect="1"/>
                    </pic:cNvPicPr>
                  </pic:nvPicPr>
                  <pic:blipFill>
                    <a:blip r:embed="rId49"/>
                    <a:stretch>
                      <a:fillRect/>
                    </a:stretch>
                  </pic:blipFill>
                  <pic:spPr>
                    <a:xfrm>
                      <a:off x="0" y="0"/>
                      <a:ext cx="5266055" cy="7778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验收申请页面如下，按要求上传付款通知（红字部分为提示）</w:t>
      </w:r>
    </w:p>
    <w:p>
      <w:pPr>
        <w:ind w:firstLine="420" w:firstLineChars="200"/>
        <w:rPr>
          <w:rFonts w:hint="eastAsia"/>
          <w:lang w:val="en-US" w:eastAsia="zh-CN"/>
        </w:rPr>
      </w:pPr>
      <w:r>
        <w:rPr>
          <w:rFonts w:hint="eastAsia"/>
          <w:lang w:val="en-US" w:eastAsia="zh-CN"/>
        </w:rPr>
        <w:drawing>
          <wp:inline distT="0" distB="0" distL="114300" distR="114300">
            <wp:extent cx="5189855" cy="2872105"/>
            <wp:effectExtent l="0" t="0" r="10795" b="4445"/>
            <wp:docPr id="6" name="图片 6" descr="0xC8775336_0x744A_0x4AB1_0x8B_0x22A9_0x221D_0x222B_0x2274_0x2217_0x2233_0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xC8775336_0x744A_0x4AB1_0x8B_0x22A9_0x221D_0x222B_0x2274_0x2217_0x2233_0x221"/>
                    <pic:cNvPicPr>
                      <a:picLocks noChangeAspect="1"/>
                    </pic:cNvPicPr>
                  </pic:nvPicPr>
                  <pic:blipFill>
                    <a:blip r:embed="rId50"/>
                    <a:stretch>
                      <a:fillRect/>
                    </a:stretch>
                  </pic:blipFill>
                  <pic:spPr>
                    <a:xfrm>
                      <a:off x="0" y="0"/>
                      <a:ext cx="5189855" cy="287210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验收申请提交后，待验收申请状态变为“已同意”说明已经验收通过，这时候再去【合同管理】【付款申请】中提交付款申请。</w:t>
      </w:r>
    </w:p>
    <w:p>
      <w:pPr>
        <w:pStyle w:val="4"/>
        <w:numPr>
          <w:ilvl w:val="0"/>
          <w:numId w:val="20"/>
        </w:numPr>
      </w:pPr>
      <w:r>
        <w:rPr>
          <w:rFonts w:hint="eastAsia"/>
        </w:rPr>
        <w:t>合同付款申请</w:t>
      </w:r>
    </w:p>
    <w:p>
      <w:pPr>
        <w:ind w:firstLine="420" w:firstLineChars="200"/>
      </w:pPr>
      <w:r>
        <w:rPr>
          <w:rFonts w:hint="eastAsia"/>
        </w:rPr>
        <w:t>泰康集团总部的IT类型合同的付款申请由供应商联系人发起。供应商发起付款流程操作如下：</w:t>
      </w:r>
    </w:p>
    <w:p>
      <w:pPr>
        <w:pStyle w:val="5"/>
      </w:pPr>
      <w:r>
        <w:rPr>
          <w:rFonts w:hint="eastAsia"/>
          <w:lang w:val="en-US" w:eastAsia="zh-CN"/>
        </w:rPr>
        <w:t>2</w:t>
      </w:r>
      <w:r>
        <w:rPr>
          <w:rFonts w:hint="eastAsia"/>
        </w:rPr>
        <w:t>.1付款申请列表</w:t>
      </w:r>
    </w:p>
    <w:p>
      <w:pPr>
        <w:ind w:firstLine="420" w:firstLineChars="200"/>
      </w:pPr>
      <w:r>
        <w:rPr>
          <w:rFonts w:hint="eastAsia"/>
        </w:rPr>
        <w:t>供应商在左侧导航栏中点击【付款申请】，进入付款申请列表，查看付款申请状态（待申请、审判中、已完成）和办理情况，如下图：</w:t>
      </w:r>
    </w:p>
    <w:p>
      <w: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rcRect t="17837" b="29520"/>
                    <a:stretch>
                      <a:fillRect/>
                    </a:stretch>
                  </pic:blipFill>
                  <pic:spPr>
                    <a:xfrm>
                      <a:off x="0" y="0"/>
                      <a:ext cx="5274310" cy="1928495"/>
                    </a:xfrm>
                    <a:prstGeom prst="rect">
                      <a:avLst/>
                    </a:prstGeom>
                  </pic:spPr>
                </pic:pic>
              </a:graphicData>
            </a:graphic>
          </wp:inline>
        </w:drawing>
      </w:r>
    </w:p>
    <w:p>
      <w:pPr>
        <w:pStyle w:val="5"/>
      </w:pPr>
      <w:r>
        <w:rPr>
          <w:rFonts w:hint="eastAsia"/>
          <w:lang w:val="en-US" w:eastAsia="zh-CN"/>
        </w:rPr>
        <w:t>2</w:t>
      </w:r>
      <w:r>
        <w:rPr>
          <w:rFonts w:hint="eastAsia"/>
        </w:rPr>
        <w:t>.2付款申请发起</w:t>
      </w:r>
    </w:p>
    <w:p>
      <w:r>
        <w:rPr>
          <w:rFonts w:hint="eastAsia"/>
        </w:rPr>
        <w:t>（1）供应商点击需要发起申请的付款批次后面的“编辑”按钮，进入付款申请编辑页面，如下图：</w:t>
      </w:r>
    </w:p>
    <w:p>
      <w: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2"/>
                    <a:stretch>
                      <a:fillRect/>
                    </a:stretch>
                  </pic:blipFill>
                  <pic:spPr>
                    <a:xfrm>
                      <a:off x="0" y="0"/>
                      <a:ext cx="5272405" cy="744220"/>
                    </a:xfrm>
                    <a:prstGeom prst="rect">
                      <a:avLst/>
                    </a:prstGeom>
                    <a:noFill/>
                    <a:ln>
                      <a:noFill/>
                    </a:ln>
                  </pic:spPr>
                </pic:pic>
              </a:graphicData>
            </a:graphic>
          </wp:inline>
        </w:drawing>
      </w:r>
    </w:p>
    <w:p>
      <w:r>
        <w:rPr>
          <w:rFonts w:hint="eastAsia"/>
        </w:rPr>
        <w:t>（2）进入付款申请编辑页面，编辑付款信息，完成后点击下方“提交”</w:t>
      </w:r>
    </w:p>
    <w:p/>
    <w:p/>
    <w:p/>
    <w:p>
      <w:pPr>
        <w:pStyle w:val="5"/>
      </w:pPr>
      <w:r>
        <w:rPr>
          <w:rFonts w:hint="eastAsia"/>
          <w:lang w:val="en-US" w:eastAsia="zh-CN"/>
        </w:rPr>
        <w:t>2</w:t>
      </w:r>
      <w:r>
        <w:rPr>
          <w:rFonts w:hint="eastAsia"/>
        </w:rPr>
        <w:t>.3付款完成</w:t>
      </w:r>
    </w:p>
    <w:p>
      <w:r>
        <w:rPr>
          <w:rFonts w:hint="eastAsia"/>
        </w:rPr>
        <w:t>供应商联系人登录系统可以查看付款状态，由“审批中”变为“已完成”，付款完成。如下图：</w:t>
      </w:r>
    </w:p>
    <w:p>
      <w:r>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3"/>
                    <a:stretch>
                      <a:fillRect/>
                    </a:stretch>
                  </pic:blipFill>
                  <pic:spPr>
                    <a:xfrm>
                      <a:off x="0" y="0"/>
                      <a:ext cx="5274310" cy="2546808"/>
                    </a:xfrm>
                    <a:prstGeom prst="rect">
                      <a:avLst/>
                    </a:prstGeom>
                  </pic:spPr>
                </pic:pic>
              </a:graphicData>
            </a:graphic>
          </wp:inline>
        </w:drawing>
      </w:r>
    </w:p>
    <w:p/>
    <w:p/>
    <w:p/>
    <w:p>
      <w:pPr>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58AA6FB"/>
    <w:multiLevelType w:val="singleLevel"/>
    <w:tmpl w:val="358AA6FB"/>
    <w:lvl w:ilvl="0" w:tentative="0">
      <w:start w:val="1"/>
      <w:numFmt w:val="decimal"/>
      <w:lvlText w:val="%1."/>
      <w:lvlJc w:val="left"/>
      <w:pPr>
        <w:tabs>
          <w:tab w:val="left" w:pos="312"/>
        </w:tabs>
      </w:pPr>
    </w:lvl>
  </w:abstractNum>
  <w:abstractNum w:abstractNumId="14">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5">
    <w:nsid w:val="58EE1DB8"/>
    <w:multiLevelType w:val="singleLevel"/>
    <w:tmpl w:val="58EE1DB8"/>
    <w:lvl w:ilvl="0" w:tentative="0">
      <w:start w:val="1"/>
      <w:numFmt w:val="chineseCounting"/>
      <w:suff w:val="nothing"/>
      <w:lvlText w:val="%1、"/>
      <w:lvlJc w:val="left"/>
      <w:rPr>
        <w:rFonts w:hint="eastAsia"/>
      </w:rPr>
    </w:lvl>
  </w:abstractNum>
  <w:abstractNum w:abstractNumId="16">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7">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8">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9">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AF460E"/>
    <w:rsid w:val="03071C26"/>
    <w:rsid w:val="033846E8"/>
    <w:rsid w:val="035719C7"/>
    <w:rsid w:val="0365559D"/>
    <w:rsid w:val="03B35F6B"/>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A063B4"/>
    <w:rsid w:val="10DE694A"/>
    <w:rsid w:val="1145429A"/>
    <w:rsid w:val="11845377"/>
    <w:rsid w:val="11B21BC0"/>
    <w:rsid w:val="12AA6F16"/>
    <w:rsid w:val="12BF4401"/>
    <w:rsid w:val="12E056D3"/>
    <w:rsid w:val="12F65FE8"/>
    <w:rsid w:val="132F5E12"/>
    <w:rsid w:val="147A23BA"/>
    <w:rsid w:val="14815B4A"/>
    <w:rsid w:val="14CB0ACC"/>
    <w:rsid w:val="14DB4180"/>
    <w:rsid w:val="14E14064"/>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043ECD"/>
    <w:rsid w:val="232C050C"/>
    <w:rsid w:val="239B2522"/>
    <w:rsid w:val="23B87C91"/>
    <w:rsid w:val="23E01C98"/>
    <w:rsid w:val="23EC22D8"/>
    <w:rsid w:val="25730E99"/>
    <w:rsid w:val="25B95A7E"/>
    <w:rsid w:val="268B7BEC"/>
    <w:rsid w:val="26F02C55"/>
    <w:rsid w:val="274A16CC"/>
    <w:rsid w:val="276124D5"/>
    <w:rsid w:val="27870BBE"/>
    <w:rsid w:val="27961CA9"/>
    <w:rsid w:val="27C0750D"/>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6B6AFE"/>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6861BE"/>
    <w:rsid w:val="52731C1E"/>
    <w:rsid w:val="52ED1AF5"/>
    <w:rsid w:val="53194B33"/>
    <w:rsid w:val="537E247E"/>
    <w:rsid w:val="539C1A40"/>
    <w:rsid w:val="53CF6798"/>
    <w:rsid w:val="53E40BBA"/>
    <w:rsid w:val="54120B02"/>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57943F1"/>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22"/>
    <w:qFormat/>
    <w:uiPriority w:val="0"/>
    <w:pPr>
      <w:jc w:val="left"/>
    </w:pPr>
  </w:style>
  <w:style w:type="paragraph" w:styleId="8">
    <w:name w:val="Balloon Text"/>
    <w:basedOn w:val="1"/>
    <w:link w:val="19"/>
    <w:qFormat/>
    <w:uiPriority w:val="0"/>
    <w:rPr>
      <w:sz w:val="18"/>
      <w:szCs w:val="18"/>
    </w:r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annotation subject"/>
    <w:basedOn w:val="7"/>
    <w:next w:val="7"/>
    <w:link w:val="2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styleId="17">
    <w:name w:val="annotation reference"/>
    <w:basedOn w:val="15"/>
    <w:qFormat/>
    <w:uiPriority w:val="0"/>
    <w:rPr>
      <w:sz w:val="21"/>
      <w:szCs w:val="21"/>
    </w:r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批注框文本 字符"/>
    <w:basedOn w:val="15"/>
    <w:link w:val="8"/>
    <w:qFormat/>
    <w:uiPriority w:val="0"/>
    <w:rPr>
      <w:rFonts w:asciiTheme="minorHAnsi" w:hAnsiTheme="minorHAnsi" w:eastAsiaTheme="minorEastAsia" w:cstheme="minorBidi"/>
      <w:kern w:val="2"/>
      <w:sz w:val="18"/>
      <w:szCs w:val="18"/>
    </w:rPr>
  </w:style>
  <w:style w:type="character" w:customStyle="1" w:styleId="20">
    <w:name w:val="页眉 字符"/>
    <w:basedOn w:val="15"/>
    <w:link w:val="10"/>
    <w:qFormat/>
    <w:uiPriority w:val="0"/>
    <w:rPr>
      <w:rFonts w:asciiTheme="minorHAnsi" w:hAnsiTheme="minorHAnsi" w:eastAsiaTheme="minorEastAsia" w:cstheme="minorBidi"/>
      <w:kern w:val="2"/>
      <w:sz w:val="18"/>
      <w:szCs w:val="18"/>
    </w:rPr>
  </w:style>
  <w:style w:type="character" w:customStyle="1" w:styleId="21">
    <w:name w:val="页脚 字符"/>
    <w:basedOn w:val="15"/>
    <w:link w:val="9"/>
    <w:qFormat/>
    <w:uiPriority w:val="0"/>
    <w:rPr>
      <w:rFonts w:asciiTheme="minorHAnsi" w:hAnsiTheme="minorHAnsi" w:eastAsiaTheme="minorEastAsia" w:cstheme="minorBidi"/>
      <w:kern w:val="2"/>
      <w:sz w:val="18"/>
      <w:szCs w:val="18"/>
    </w:rPr>
  </w:style>
  <w:style w:type="character" w:customStyle="1" w:styleId="22">
    <w:name w:val="批注文字 字符"/>
    <w:basedOn w:val="15"/>
    <w:link w:val="7"/>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12"/>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898</Words>
  <Characters>5120</Characters>
  <Lines>42</Lines>
  <Paragraphs>12</Paragraphs>
  <TotalTime>48</TotalTime>
  <ScaleCrop>false</ScaleCrop>
  <LinksUpToDate>false</LinksUpToDate>
  <CharactersWithSpaces>6006</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徐建国</cp:lastModifiedBy>
  <dcterms:modified xsi:type="dcterms:W3CDTF">2022-03-08T02:59:04Z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